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2F35" w14:textId="77777777" w:rsidR="009450D9" w:rsidRPr="00856CCB" w:rsidRDefault="009450D9" w:rsidP="009450D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</w:pPr>
      <w:bookmarkStart w:id="0" w:name="_GoBack"/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DICTAMEN</w:t>
      </w:r>
    </w:p>
    <w:p w14:paraId="6E5CBF72" w14:textId="77777777" w:rsidR="009450D9" w:rsidRPr="00856CCB" w:rsidRDefault="009450D9" w:rsidP="009450D9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6"/>
          <w:szCs w:val="26"/>
          <w:u w:val="single"/>
          <w:lang w:val="es-ES"/>
        </w:rPr>
      </w:pPr>
    </w:p>
    <w:p w14:paraId="77296548" w14:textId="77777777" w:rsidR="009450D9" w:rsidRPr="00856CCB" w:rsidRDefault="009450D9" w:rsidP="009450D9">
      <w:pPr>
        <w:spacing w:after="100" w:afterAutospacing="1" w:line="360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HONORABLE CONGRESO NACIONAL,</w:t>
      </w:r>
    </w:p>
    <w:p w14:paraId="0A1F7884" w14:textId="08AFD979" w:rsidR="009450D9" w:rsidRPr="00856CCB" w:rsidRDefault="009450D9" w:rsidP="009450D9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Los suscritos miembros de la </w:t>
      </w: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COMISIÓN ESPECIAL,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nombrados por el Presidente de la Junta Directiva del Congreso Nacional, para emitir Dictamen en relación al Proyecto de Decreto orientado a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exonerar de la aplicación de multas y sanciones legales a los candidatos, movimientos internos y partidos políticos que presenten sus informes financieros de liquidación de fondos en el término de un mes a partir de la vigencia de este Decreto ante la Unidad de Financiamiento, Transparencia y Fiscalización; así como</w:t>
      </w:r>
      <w:r w:rsidRPr="00856CCB"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reformar</w:t>
      </w:r>
      <w:r w:rsidRPr="00856CCB"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 xml:space="preserve">el  Artículo 56 numeral 1) </w:t>
      </w: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de la LEY DE FINANCIAMIENTO, TRANSPARENCIA Y FISCALIZACIÓN A PARTIDOS POLÍTICOS Y CANDIDATOS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, presentado ante la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Cámara Legislativa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por el </w:t>
      </w: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HONORABLE DIPUTADO OSCAR RENÉ CANALES ORTÍZ;</w:t>
      </w: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sobre la tarea encomendada nos manifestamos de la siguiente manera:</w:t>
      </w:r>
    </w:p>
    <w:p w14:paraId="101ED6FD" w14:textId="77777777" w:rsidR="009450D9" w:rsidRPr="00856CCB" w:rsidRDefault="009450D9" w:rsidP="009450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</w:pPr>
    </w:p>
    <w:p w14:paraId="75E3C7B8" w14:textId="5D36B106" w:rsidR="003F7883" w:rsidRPr="00856CCB" w:rsidRDefault="009450D9" w:rsidP="009450D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PRIMERO: </w:t>
      </w:r>
      <w:r w:rsidRPr="00856CCB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>Esta Comisión comparte los argumentos expuesto</w:t>
      </w:r>
      <w:r w:rsidR="00AE5E0E" w:rsidRPr="00856CCB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>s</w:t>
      </w:r>
      <w:r w:rsidRPr="00856CCB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 xml:space="preserve"> por el Proyectista en la Exposición de Motivos del </w:t>
      </w:r>
      <w:r w:rsidR="00A63950" w:rsidRPr="00856CCB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>P</w:t>
      </w:r>
      <w:r w:rsidRPr="00856CCB">
        <w:rPr>
          <w:rFonts w:ascii="Arial" w:hAnsi="Arial" w:cs="Arial"/>
          <w:bCs/>
          <w:color w:val="000000" w:themeColor="text1"/>
          <w:sz w:val="26"/>
          <w:szCs w:val="26"/>
          <w:lang w:val="es-ES"/>
        </w:rPr>
        <w:t>royecto al expresar que:</w:t>
      </w:r>
    </w:p>
    <w:p w14:paraId="3BE0EBE0" w14:textId="4869A481" w:rsidR="005468FB" w:rsidRPr="00856CCB" w:rsidRDefault="009450D9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“</w:t>
      </w:r>
      <w:r w:rsidR="005468FB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En</w:t>
      </w:r>
      <w:r w:rsidR="005468FB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el año 2017 dada la escasa regulación sobre el financiamiento de los partidos políticos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 movimientos internos</w:t>
      </w:r>
      <w:r w:rsidR="005468FB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y candidaturas independientes, se hizo necesaria la aprobación del </w:t>
      </w:r>
      <w:r w:rsidR="005468FB" w:rsidRPr="00856CCB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es-ES"/>
        </w:rPr>
        <w:t>Decreto No.137-2016</w:t>
      </w:r>
      <w:r w:rsidR="005468FB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contentivo de la </w:t>
      </w:r>
      <w:r w:rsidR="005468FB" w:rsidRPr="00856CCB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es-ES"/>
        </w:rPr>
        <w:t>LEY DE FINANCIAMIENTO, TRANSPARENCIA Y FISCALIZACIÓN A PARTIDOS POLÍTICOS Y CANDIDATOS</w:t>
      </w:r>
      <w:r w:rsidR="00052B26" w:rsidRPr="00856CCB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es-ES"/>
        </w:rPr>
        <w:t>,</w:t>
      </w:r>
      <w:r w:rsidR="005468FB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ello como instrumento legal que sistemáticamente, permita mayor transparencia y fiscalización de los ingresos y egresos de los recursos públicos de los partidos políticos y sus movimientos internos, sus candidaturas, candidaturas independientes y alianzas entre partidos políticos.</w:t>
      </w:r>
    </w:p>
    <w:p w14:paraId="29A37C64" w14:textId="77777777" w:rsidR="003A1E0E" w:rsidRPr="00856CCB" w:rsidRDefault="003A1E0E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</w:p>
    <w:p w14:paraId="55C628BA" w14:textId="0E9D46CA" w:rsidR="00E105A0" w:rsidRPr="00856CCB" w:rsidRDefault="00052B26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E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n aras de implementar mecanismos de transparencia en los procesos electorales se estableció en los artículos 46, 47 y 48 del Decreto No. 137-2016 la obligatoriedad por parte de</w:t>
      </w:r>
      <w:r w:rsidR="00A6395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los partidos políticos y precandidatos a elección popular de rendir un informe cont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eniendo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el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Balance General 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y el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Estado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de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Resultados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certificados y auditados de los ingresos y egresos con el detalle del origen y destino de los fondos administrados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.</w:t>
      </w:r>
    </w:p>
    <w:p w14:paraId="02699494" w14:textId="77777777" w:rsidR="00E105A0" w:rsidRPr="00856CCB" w:rsidRDefault="00E105A0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</w:p>
    <w:p w14:paraId="7B8F4CC2" w14:textId="3AB1C7BF" w:rsidR="006E69D1" w:rsidRPr="00856CCB" w:rsidRDefault="00052B26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lastRenderedPageBreak/>
        <w:t xml:space="preserve">El 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plazo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para presentar el informe referido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inicialmente fue del 15 al 29 de marzo del 2021, mismo que se extendió al 3 de abril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del 2021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, pero dadas las dificultades 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de los 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di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fe</w:t>
      </w:r>
      <w:r w:rsidR="003A1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rentes candidatos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, movimientos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internos y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partidos políticos para presentar el informe financiero antes indicado se hizo necesaria la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aprobación del Decreto No. 19-2021 en el cual se aprobó una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extensión de este plazo hasta el 26 de mayo del año 2021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lo anterior como un mecanismo que permitiera a los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participantes</w:t>
      </w:r>
      <w:r w:rsidR="00241BFD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en las elecciones primarias cumplir con esta acción de transparencia respecto al uso de los fondos para la realización de campañas políticas.</w:t>
      </w:r>
    </w:p>
    <w:p w14:paraId="03FFAA5F" w14:textId="77777777" w:rsidR="00E105A0" w:rsidRPr="00856CCB" w:rsidRDefault="00E105A0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</w:p>
    <w:p w14:paraId="5276217B" w14:textId="6D3224CA" w:rsidR="00241BFD" w:rsidRPr="00856CCB" w:rsidRDefault="00241BFD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Si bien es cierto</w:t>
      </w:r>
      <w:r w:rsidR="00A6395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este plazo para la presentación de informes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financieros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ante la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Unidad de Financiamiento, Transparencia y Fiscalización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se ha venido ampl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i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ando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no es menos cierto que 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es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la primera vez que se lleva a cabo este proceso en elecciones primarias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dada la reciente vigencia de la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L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ey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, lo cual representa un verdadero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desafío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para los candidatos y partidos políticos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que participaron en el proceso electoral primario,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sobre todo porque no ha existido un proceso de socialización amplio de los procesos contenidos en el Decreto 137-2016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en relación a los procesos electorales primarios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, y en muchos casos no se tuvo a disposición toda la documentación requerida para la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última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fecha de extensión para presentación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;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sin embargo</w:t>
      </w:r>
      <w:r w:rsidR="00A6395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existe la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disposición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tanto de los candidatos, de los movimientos internos y de los partidos políticos de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cumplir con esta obligación de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L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ey y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presentar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los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informes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financieros antes indicados</w:t>
      </w:r>
      <w:r w:rsidR="00052B26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los mismos están sujetos al pago de onerosas multas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,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que dada la actual situación económica del país en general en parte debido a los daños colaterales de la crisis sanitaria por Covid-19 y las tormentas ETA e IOTA, se convertirían en obligaciones económicas de difícil o imposible cumplimiento para muchos candidatos y movimientos, sobre todos los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más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pequeños, por ello se hace necesario brindar una oportunidad para que los sujetos obligados puedan presentar sus informes </w:t>
      </w:r>
      <w:r w:rsidR="00E105A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y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cumplir con esta obligación libre de las sanciones legales</w:t>
      </w:r>
      <w:r w:rsidR="008465D9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.</w:t>
      </w:r>
    </w:p>
    <w:p w14:paraId="012CECEE" w14:textId="77777777" w:rsidR="008465D9" w:rsidRPr="00856CCB" w:rsidRDefault="008465D9" w:rsidP="001036EC">
      <w:p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</w:p>
    <w:p w14:paraId="34B0A8C3" w14:textId="0A089E54" w:rsidR="0094752F" w:rsidRPr="00856CCB" w:rsidRDefault="00241BFD" w:rsidP="001036EC">
      <w:pPr>
        <w:spacing w:after="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Por lo anterior</w:t>
      </w:r>
      <w:r w:rsidR="00A6395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c</w:t>
      </w:r>
      <w:r w:rsidR="00C11166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on el fin de </w:t>
      </w:r>
      <w:r w:rsidR="006E69D1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asegurar la transparencia en los procesos de financiamiento de las campañas políticas</w:t>
      </w:r>
      <w:r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 y </w:t>
      </w:r>
      <w:r w:rsidR="00C11166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no privar </w:t>
      </w:r>
      <w:r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a los aspirantes a un cargo, ni a los movimientos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 ni a los partidos políticos 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de su participación en los procesos electorales por la 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aplicación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 de una sanción derivada de la no presentación del informe financiero ante la </w:t>
      </w:r>
      <w:r w:rsidR="008465D9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Unidad de Financiamiento, </w:t>
      </w:r>
      <w:r w:rsidR="008465D9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lastRenderedPageBreak/>
        <w:t>Transparencia y Fiscalización</w:t>
      </w:r>
      <w:r w:rsidR="00A63950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;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 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se hace necesario exonerar 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a los mismos 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de la aplicación delas multas y sanciones legales a los candidatos, movimiento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s internos 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y partidos políticos que a la brevedad presenten estos informes ello como un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 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mecanismo que asegure la democracia en nuestro país, </w:t>
      </w:r>
      <w:r w:rsidR="008465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m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ediante la participación amplia de candidatos y partidos políticos en las próximas elecciones generales</w:t>
      </w:r>
      <w:r w:rsidR="009450D9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>”</w:t>
      </w:r>
      <w:r w:rsidR="0094752F" w:rsidRPr="00856CCB"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  <w:t xml:space="preserve">. </w:t>
      </w:r>
    </w:p>
    <w:p w14:paraId="09D856A9" w14:textId="4B815102" w:rsidR="009450D9" w:rsidRPr="00856CCB" w:rsidRDefault="009450D9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3B0D9BBC" w14:textId="29ED9A7D" w:rsidR="009450D9" w:rsidRPr="00856CCB" w:rsidRDefault="009450D9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es-ES"/>
        </w:rPr>
        <w:t>SEGUNDO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: La Comisión 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h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a tomado en cuenta, además, las manifestaciones expuestas por los representaste de diversas bancadas representadas en este Poder del Estado, </w:t>
      </w:r>
      <w:r w:rsidR="00A63950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expresando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la importancia de que el Congreso Nacional, tome medidas al respecto. </w:t>
      </w:r>
    </w:p>
    <w:p w14:paraId="1479F169" w14:textId="252EFD72" w:rsidR="009450D9" w:rsidRPr="00856CCB" w:rsidRDefault="009450D9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0AE1D584" w14:textId="25697715" w:rsidR="009450D9" w:rsidRPr="00856CCB" w:rsidRDefault="009450D9" w:rsidP="009450D9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En consideración de lo antes expuesto, esta Comisión emite opinión </w:t>
      </w:r>
      <w:r w:rsidRPr="00856CCB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es-ES"/>
        </w:rPr>
        <w:t>FAVORABLE</w:t>
      </w: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en relación al Proyecto de Decreto orientado a,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exonerar de la aplicación de multas y sanciones legales a los candidatos, movimientos internos y partidos políticos que presenten sus informes financieros de liquidación de fondos en el término de un mes a partir de la vigencia de este Decreto ante la Unidad de Financiamiento, Transparencia y Fiscalización; así como</w:t>
      </w:r>
      <w:r w:rsidRPr="00856CCB"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reformar</w:t>
      </w:r>
      <w:r w:rsidRPr="00856CCB"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 xml:space="preserve">el  Artículo 56 numeral 1) </w:t>
      </w: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de la LEY DE FINANCIAMIENTO, TRANSPARENCIA Y FISCALIZACIÓN A PARTIDOS POLÍTICOS Y CANDIDATOS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, presentado ante la cámara legislativa por el </w:t>
      </w: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HONORABLE DIPUTADO OSCAR RENÉ CANALES ORTÍZ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 conforme al documento adjunto, salvo mejor pensamiento y criterio de esta Cámara Legislativa.</w:t>
      </w:r>
    </w:p>
    <w:p w14:paraId="14C8D4F0" w14:textId="77777777" w:rsidR="009450D9" w:rsidRPr="00856CCB" w:rsidRDefault="009450D9" w:rsidP="009450D9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6"/>
          <w:szCs w:val="26"/>
          <w:lang w:val="es-ES"/>
        </w:rPr>
      </w:pPr>
    </w:p>
    <w:p w14:paraId="779DC690" w14:textId="77777777" w:rsidR="009450D9" w:rsidRPr="00856CCB" w:rsidRDefault="009450D9" w:rsidP="009450D9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Tegucigalpa, MDC., a los     días del mes de septiembre del año 2021. </w:t>
      </w:r>
    </w:p>
    <w:p w14:paraId="7AD7782C" w14:textId="77777777" w:rsidR="009450D9" w:rsidRPr="00856CCB" w:rsidRDefault="009450D9" w:rsidP="009450D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u w:val="single"/>
          <w:lang w:val="es-ES"/>
        </w:rPr>
      </w:pPr>
    </w:p>
    <w:p w14:paraId="372A258C" w14:textId="77777777" w:rsidR="009450D9" w:rsidRPr="00856CCB" w:rsidRDefault="009450D9" w:rsidP="009450D9">
      <w:pPr>
        <w:tabs>
          <w:tab w:val="left" w:pos="1243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COMISIÓN ESPECIAL</w:t>
      </w:r>
    </w:p>
    <w:p w14:paraId="66EF458C" w14:textId="77777777" w:rsidR="009450D9" w:rsidRPr="00856CCB" w:rsidRDefault="009450D9" w:rsidP="009450D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/>
          <w:lang w:val="es-ES"/>
        </w:rPr>
      </w:pPr>
    </w:p>
    <w:p w14:paraId="044BF5F6" w14:textId="77777777" w:rsidR="009450D9" w:rsidRPr="00856CCB" w:rsidRDefault="009450D9" w:rsidP="009450D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/>
          <w:lang w:val="es-ES"/>
        </w:rPr>
      </w:pPr>
    </w:p>
    <w:p w14:paraId="712799A2" w14:textId="77777777" w:rsidR="009450D9" w:rsidRPr="00856CCB" w:rsidRDefault="009450D9" w:rsidP="009450D9">
      <w:pPr>
        <w:spacing w:after="0" w:line="240" w:lineRule="auto"/>
        <w:ind w:left="1134" w:right="1134"/>
        <w:jc w:val="center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___________________________________</w:t>
      </w:r>
    </w:p>
    <w:p w14:paraId="173DCFB2" w14:textId="77777777" w:rsidR="009450D9" w:rsidRPr="00856CCB" w:rsidRDefault="009450D9" w:rsidP="009450D9">
      <w:pPr>
        <w:spacing w:after="0" w:line="240" w:lineRule="auto"/>
        <w:ind w:left="1134" w:right="1134"/>
        <w:jc w:val="center"/>
        <w:rPr>
          <w:rFonts w:ascii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MARIO ALONSO PÉREZ LÓPEZ</w:t>
      </w:r>
    </w:p>
    <w:p w14:paraId="39558C3F" w14:textId="77777777" w:rsidR="009450D9" w:rsidRPr="00856CCB" w:rsidRDefault="009450D9" w:rsidP="009450D9">
      <w:pPr>
        <w:spacing w:after="0" w:line="240" w:lineRule="auto"/>
        <w:ind w:left="1134" w:right="1134"/>
        <w:jc w:val="center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21F229A6" w14:textId="77777777" w:rsidR="009450D9" w:rsidRPr="00856CCB" w:rsidRDefault="009450D9" w:rsidP="009450D9">
      <w:pPr>
        <w:spacing w:after="0" w:line="240" w:lineRule="auto"/>
        <w:ind w:right="1134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0"/>
        <w:gridCol w:w="4766"/>
      </w:tblGrid>
      <w:tr w:rsidR="00856CCB" w:rsidRPr="00856CCB" w14:paraId="39197B68" w14:textId="77777777" w:rsidTr="0060696E">
        <w:tc>
          <w:tcPr>
            <w:tcW w:w="4590" w:type="dxa"/>
          </w:tcPr>
          <w:p w14:paraId="62349A32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170C68A7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52178524" w14:textId="77777777" w:rsidR="009450D9" w:rsidRPr="00856CCB" w:rsidRDefault="009450D9" w:rsidP="006069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JUAN DIEGO ZELAYA</w:t>
            </w:r>
          </w:p>
        </w:tc>
        <w:tc>
          <w:tcPr>
            <w:tcW w:w="4766" w:type="dxa"/>
          </w:tcPr>
          <w:p w14:paraId="6B5B91F0" w14:textId="77777777" w:rsidR="009450D9" w:rsidRPr="00856CCB" w:rsidRDefault="009450D9" w:rsidP="0060696E">
            <w:pPr>
              <w:pBdr>
                <w:bottom w:val="single" w:sz="12" w:space="1" w:color="000000"/>
              </w:pBd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32FA988D" w14:textId="77777777" w:rsidR="009450D9" w:rsidRPr="00856CCB" w:rsidRDefault="009450D9" w:rsidP="0060696E">
            <w:pPr>
              <w:pBdr>
                <w:bottom w:val="single" w:sz="12" w:space="1" w:color="000000"/>
              </w:pBd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52BB3682" w14:textId="77777777" w:rsidR="009450D9" w:rsidRPr="00856CCB" w:rsidRDefault="009450D9" w:rsidP="0060696E">
            <w:pP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FELÍCITO ÁVILA ORDÓÑEZ</w:t>
            </w:r>
          </w:p>
          <w:p w14:paraId="7326F888" w14:textId="77777777" w:rsidR="009450D9" w:rsidRPr="00856CCB" w:rsidRDefault="009450D9" w:rsidP="0060696E">
            <w:pP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</w:tc>
      </w:tr>
      <w:tr w:rsidR="00856CCB" w:rsidRPr="00856CCB" w14:paraId="521BF32E" w14:textId="77777777" w:rsidTr="0060696E">
        <w:tc>
          <w:tcPr>
            <w:tcW w:w="4590" w:type="dxa"/>
          </w:tcPr>
          <w:p w14:paraId="21A02451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179E019C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23B06A68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41EEDC1E" w14:textId="77777777" w:rsidR="009450D9" w:rsidRPr="00856CCB" w:rsidRDefault="009450D9" w:rsidP="006069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MARIO EDGARDO SEGURA</w:t>
            </w:r>
          </w:p>
          <w:p w14:paraId="037F378E" w14:textId="77777777" w:rsidR="009450D9" w:rsidRPr="00856CCB" w:rsidRDefault="009450D9" w:rsidP="006069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4282EF18" w14:textId="77777777" w:rsidR="009450D9" w:rsidRPr="00856CCB" w:rsidRDefault="009450D9" w:rsidP="0060696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</w:tc>
        <w:tc>
          <w:tcPr>
            <w:tcW w:w="4766" w:type="dxa"/>
          </w:tcPr>
          <w:p w14:paraId="341B4183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14AD179C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4F6F670E" w14:textId="380273C0" w:rsidR="009450D9" w:rsidRPr="00856CCB" w:rsidRDefault="0021642C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lastRenderedPageBreak/>
              <w:t xml:space="preserve">No votó </w:t>
            </w:r>
          </w:p>
          <w:p w14:paraId="7FD16471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SAMUEL MADRID</w:t>
            </w:r>
          </w:p>
          <w:p w14:paraId="1F073385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EN SUSTICUCIÓN DE FRANCISCO JAVIER PAZ LAÍNEZ</w:t>
            </w:r>
          </w:p>
          <w:p w14:paraId="72504184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0BEE5ABE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</w:tc>
      </w:tr>
      <w:tr w:rsidR="00856CCB" w:rsidRPr="00856CCB" w14:paraId="33F57320" w14:textId="77777777" w:rsidTr="0060696E">
        <w:tc>
          <w:tcPr>
            <w:tcW w:w="4590" w:type="dxa"/>
          </w:tcPr>
          <w:p w14:paraId="154D027B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28530C11" w14:textId="451A323A" w:rsidR="009450D9" w:rsidRPr="00856CCB" w:rsidRDefault="009450D9" w:rsidP="0021642C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KAREN DINORA ORTEGA OSORTO</w:t>
            </w:r>
          </w:p>
        </w:tc>
        <w:tc>
          <w:tcPr>
            <w:tcW w:w="4766" w:type="dxa"/>
          </w:tcPr>
          <w:p w14:paraId="1502A70B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21CF13AF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EDWAR SAMIR MOLINA FÚNEZ</w:t>
            </w:r>
          </w:p>
          <w:p w14:paraId="5CC95CAE" w14:textId="77777777" w:rsidR="009450D9" w:rsidRPr="00856CCB" w:rsidRDefault="009450D9" w:rsidP="0060696E">
            <w:pP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</w:tc>
      </w:tr>
      <w:tr w:rsidR="00856CCB" w:rsidRPr="00856CCB" w14:paraId="7AE37D8A" w14:textId="77777777" w:rsidTr="0060696E">
        <w:tc>
          <w:tcPr>
            <w:tcW w:w="4590" w:type="dxa"/>
          </w:tcPr>
          <w:p w14:paraId="6A4E6C63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5DA10308" w14:textId="2E868B4E" w:rsidR="009450D9" w:rsidRPr="00856CCB" w:rsidRDefault="0021642C" w:rsidP="006069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              Se abstiene</w:t>
            </w:r>
          </w:p>
          <w:p w14:paraId="04FE276C" w14:textId="77777777" w:rsidR="009450D9" w:rsidRPr="00856CCB" w:rsidRDefault="009450D9" w:rsidP="006069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IVETH OBDULIA MATUTE BETANCOURT</w:t>
            </w:r>
          </w:p>
        </w:tc>
        <w:tc>
          <w:tcPr>
            <w:tcW w:w="4766" w:type="dxa"/>
          </w:tcPr>
          <w:p w14:paraId="18F76098" w14:textId="77777777" w:rsidR="0021642C" w:rsidRPr="00856CCB" w:rsidRDefault="00AE5E0E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           </w:t>
            </w:r>
          </w:p>
          <w:p w14:paraId="63BDE57B" w14:textId="21789E94" w:rsidR="009450D9" w:rsidRPr="00856CCB" w:rsidRDefault="00AE5E0E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r w:rsidR="0021642C"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 xml:space="preserve">             </w:t>
            </w:r>
            <w:r w:rsidRPr="00856CCB"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  <w:t>Votó en contra</w:t>
            </w:r>
          </w:p>
          <w:p w14:paraId="07198045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MARIO LUIS NOÉ VILLAFRANCA</w:t>
            </w:r>
          </w:p>
          <w:p w14:paraId="785A8FB6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</w:pPr>
          </w:p>
          <w:p w14:paraId="45481F3F" w14:textId="77777777" w:rsidR="009450D9" w:rsidRPr="00856CCB" w:rsidRDefault="009450D9" w:rsidP="006069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</w:tc>
      </w:tr>
      <w:tr w:rsidR="00856CCB" w:rsidRPr="00856CCB" w14:paraId="6C89CBA7" w14:textId="77777777" w:rsidTr="0060696E">
        <w:tc>
          <w:tcPr>
            <w:tcW w:w="4590" w:type="dxa"/>
          </w:tcPr>
          <w:p w14:paraId="0454062E" w14:textId="77777777" w:rsidR="009450D9" w:rsidRPr="00856CCB" w:rsidRDefault="009450D9" w:rsidP="0060696E">
            <w:pPr>
              <w:tabs>
                <w:tab w:val="left" w:pos="1455"/>
                <w:tab w:val="left" w:pos="34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267DCDAE" w14:textId="77777777" w:rsidR="009450D9" w:rsidRPr="00856CCB" w:rsidRDefault="009450D9" w:rsidP="0060696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4348642D" w14:textId="3872B5B0" w:rsidR="009450D9" w:rsidRPr="00856CCB" w:rsidRDefault="009450D9" w:rsidP="0060696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_______</w:t>
            </w:r>
            <w:r w:rsidR="0021642C"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 xml:space="preserve">Votó en contra </w:t>
            </w: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_________</w:t>
            </w:r>
          </w:p>
          <w:p w14:paraId="4B37F5A1" w14:textId="77777777" w:rsidR="009450D9" w:rsidRPr="00856CCB" w:rsidRDefault="009450D9" w:rsidP="0060696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DORIS ALEJANDRINA GUTIÉRREZ</w:t>
            </w:r>
          </w:p>
        </w:tc>
        <w:tc>
          <w:tcPr>
            <w:tcW w:w="4766" w:type="dxa"/>
          </w:tcPr>
          <w:p w14:paraId="3CD6EED1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1C948CCA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09E9D217" w14:textId="77777777" w:rsidR="009450D9" w:rsidRPr="00856CCB" w:rsidRDefault="009450D9" w:rsidP="0060696E">
            <w:pPr>
              <w:pBdr>
                <w:bottom w:val="single" w:sz="12" w:space="1" w:color="000000"/>
              </w:pBdr>
              <w:spacing w:after="0" w:line="240" w:lineRule="auto"/>
              <w:ind w:right="256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</w:p>
          <w:p w14:paraId="6A2D7260" w14:textId="77777777" w:rsidR="009450D9" w:rsidRPr="00856CCB" w:rsidRDefault="009450D9" w:rsidP="0060696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es-ES"/>
              </w:rPr>
            </w:pPr>
            <w:r w:rsidRPr="00856CCB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s-ES"/>
              </w:rPr>
              <w:t>ROLANDO DUBÓN BUESO</w:t>
            </w:r>
          </w:p>
        </w:tc>
      </w:tr>
    </w:tbl>
    <w:p w14:paraId="7D56AC64" w14:textId="77777777" w:rsidR="009450D9" w:rsidRPr="00856CCB" w:rsidRDefault="009450D9" w:rsidP="009450D9">
      <w:pPr>
        <w:shd w:val="clear" w:color="auto" w:fill="FFFFFF" w:themeFill="background1"/>
        <w:spacing w:after="100" w:afterAutospacing="1" w:line="36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s-ES"/>
        </w:rPr>
      </w:pPr>
    </w:p>
    <w:p w14:paraId="16BDD004" w14:textId="77777777" w:rsidR="009450D9" w:rsidRPr="00856CCB" w:rsidRDefault="009450D9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1B6B22EB" w14:textId="77777777" w:rsidR="008465D9" w:rsidRPr="00856CCB" w:rsidRDefault="008465D9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50355109" w14:textId="4603E837" w:rsidR="0050476C" w:rsidRPr="00856CCB" w:rsidRDefault="0050476C" w:rsidP="0050476C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1EF056E8" w14:textId="77777777" w:rsidR="0050476C" w:rsidRPr="00856CCB" w:rsidRDefault="0050476C" w:rsidP="0050476C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31AA6836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70506EFD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2A4A3115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55BDB13A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122A0B2A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4443EE36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5F9744A8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1716A971" w14:textId="77777777" w:rsidR="008465D9" w:rsidRPr="00856CCB" w:rsidRDefault="008465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6CB2A2CC" w14:textId="77777777" w:rsidR="0050476C" w:rsidRPr="00856CCB" w:rsidRDefault="0050476C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12D6BEAC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45E8C7B1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0A93FBA1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440CFC43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60FEA06F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5981C5D3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26C79D4A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71D6A5A4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7C472914" w14:textId="77777777" w:rsidR="009450D9" w:rsidRPr="00856CCB" w:rsidRDefault="009450D9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6CEF6CB6" w14:textId="529D6C0E" w:rsidR="003F7883" w:rsidRPr="00856CCB" w:rsidRDefault="00C11166" w:rsidP="008465D9">
      <w:pPr>
        <w:spacing w:after="0" w:line="360" w:lineRule="auto"/>
        <w:ind w:left="2268" w:hanging="2268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lastRenderedPageBreak/>
        <w:t xml:space="preserve">DECRETO </w:t>
      </w:r>
      <w:proofErr w:type="gramStart"/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No._</w:t>
      </w:r>
      <w:proofErr w:type="gramEnd"/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____</w:t>
      </w:r>
    </w:p>
    <w:p w14:paraId="382A6FBD" w14:textId="77777777" w:rsidR="003F7883" w:rsidRPr="00856CCB" w:rsidRDefault="003F7883" w:rsidP="001036EC">
      <w:pPr>
        <w:spacing w:after="0" w:line="360" w:lineRule="auto"/>
        <w:ind w:left="2268" w:hanging="2268"/>
        <w:jc w:val="both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4F0D759C" w14:textId="77777777" w:rsidR="003F7883" w:rsidRPr="00856CCB" w:rsidRDefault="00C11166" w:rsidP="001036EC">
      <w:pPr>
        <w:spacing w:after="0" w:line="360" w:lineRule="auto"/>
        <w:ind w:left="2268" w:hanging="2268"/>
        <w:jc w:val="both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EL CONGRESO NACIONAL,</w:t>
      </w:r>
    </w:p>
    <w:p w14:paraId="4AC27EDB" w14:textId="77777777" w:rsidR="003F7883" w:rsidRPr="00856CCB" w:rsidRDefault="003F7883" w:rsidP="001036EC">
      <w:pPr>
        <w:spacing w:after="0" w:line="360" w:lineRule="auto"/>
        <w:ind w:left="2268" w:hanging="2268"/>
        <w:jc w:val="both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45E80FAD" w14:textId="77777777" w:rsidR="008465D9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: Que la Ley Electoral define el</w:t>
      </w:r>
      <w:r w:rsidR="00A84C66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Sistema de Elección aplicable en el país, así como los principios que se aplica a lo largo del proceso de forma pertinente a lo largo del mismo, considerándose el sufragio el mecanismo de mayor aceptabilidad y de captación de la decisión popular en donde los diferentes actores como los votantes, los partidos políticos, las alianzas, candidaturas independientes juegan un rol fundamental a lo largo del proceso, los cuales deben </w:t>
      </w:r>
      <w:r w:rsidR="00A84C66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estar sujetos a fiscalización 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a lo largo de las diferentes etapas del procesos .  </w:t>
      </w:r>
    </w:p>
    <w:p w14:paraId="2289675C" w14:textId="324616DE" w:rsidR="003F7883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</w:p>
    <w:p w14:paraId="0CDCD778" w14:textId="7A91346E" w:rsidR="00A84C66" w:rsidRPr="00856CCB" w:rsidRDefault="00C11166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: Que </w:t>
      </w:r>
      <w:r w:rsidR="00A84C66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los partidos políticos son una necesidad social, por medio de los cuales se canalizan las aspiraciones democráticas de la población, en procura de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l</w:t>
      </w:r>
      <w:r w:rsidR="00A84C66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bienestar público.</w:t>
      </w:r>
    </w:p>
    <w:p w14:paraId="0D96BF13" w14:textId="77777777" w:rsidR="008465D9" w:rsidRPr="00856CCB" w:rsidRDefault="008465D9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4CB5769C" w14:textId="6B2396D3" w:rsidR="003F7883" w:rsidRPr="00856CCB" w:rsidRDefault="00A84C66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: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Que con la finalidad de contar con un instrumento legal que, sistemáticamente, permita mayor transparencia y fiscalización de los ingresos y egresos de los recursos públicos de los partidos políticos y sus movimientos internos, sus candidatos, candidaturas independientes y alianzas entre partidos políticos, mediante Decreto No. 137- 2016, este Poder del Estado aprobó la Ley de Financiamiento, Transparencia y Fiscalización de Partidos Políticos y Candidatos, la cual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fue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publicada en el Diario Oficial “La Gaceta” el 18 de Enero de 2017, en su Edición No.34,242. </w:t>
      </w:r>
    </w:p>
    <w:p w14:paraId="1F5578B8" w14:textId="77777777" w:rsidR="008465D9" w:rsidRPr="00856CCB" w:rsidRDefault="008465D9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26C5ED57" w14:textId="06895B0B" w:rsidR="00A84C66" w:rsidRPr="00856CCB" w:rsidRDefault="00A84C66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: Que conforme a las disposiciones establecidas en la citada Ley, la Unidad de Financiamiento, Transparencia y Fiscalización a Partidos Políticos y Candidatos, puede ejecutar mecanismos de control y vigilancia establecidos en la Ley, que permiten conocer con claridad cuál es el origen y el monto de los recursos económicos con los que operan, así como la forma en que lo gastan; sin embargo, a 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c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uatro (4) años de su vigencia, se han identificado que no existe claridad en la forma de presentación de los informe 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financieros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lo que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aunado a nuestra situación de país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ha limitado a muchos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candidatos, movimientos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internos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y partidos políticos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que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se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presentaron en el proceso electoral primario del año 2021,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la presentación de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lastRenderedPageBreak/>
        <w:t xml:space="preserve">los mismos, y que derivado de la 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aplicación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de sanciones se puede dar una restricción a la participación en las próximas elecciones generales limitándose con ello los procesos democráticos del país. </w:t>
      </w:r>
    </w:p>
    <w:p w14:paraId="6A2B956C" w14:textId="77777777" w:rsidR="008465D9" w:rsidRPr="00856CCB" w:rsidRDefault="008465D9" w:rsidP="001036EC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</w:pPr>
    </w:p>
    <w:p w14:paraId="423DCF9E" w14:textId="5CEF6302" w:rsidR="00A84C66" w:rsidRPr="00856CCB" w:rsidRDefault="00A84C66" w:rsidP="001036EC">
      <w:pPr>
        <w:spacing w:after="0" w:line="36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: Que dadas las actuales circunstancias difíciles por las que atraviesa la 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población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hondureña producto de la pandemia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por causa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del virus Covid-19, cuya consecuencias  han afectado la circulación y horarios de las agencias bancarias y la voluntad de los sujetos obligados para cumplir con la presentación de estos informes se hace necesario 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aprobar un termino excepcional para la presentación de los mismos sin la aplicación de multas y sanciones legales, además de reducir el impacto económico por la aplicación de las mismas en los casos en que los mismos no se presenten</w:t>
      </w:r>
      <w:r w:rsidR="008465D9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 como mecanismo de apoyo a los procesos democráticos del país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. 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</w:t>
      </w:r>
    </w:p>
    <w:p w14:paraId="02CAD60C" w14:textId="77777777" w:rsidR="00A84C66" w:rsidRPr="00856CCB" w:rsidRDefault="00A84C66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66105904" w14:textId="77777777" w:rsidR="00801E1F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CONSIDERANDO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: Que de conformidad al Artículo 205 atribución 1) de la Constitución de la República corresponde al Congreso Nacional, crear decreta, interpretar, reformar y derogar las leyes. </w:t>
      </w:r>
    </w:p>
    <w:p w14:paraId="6894276B" w14:textId="7E0A23E7" w:rsidR="003F7883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</w:p>
    <w:p w14:paraId="16B93187" w14:textId="77777777" w:rsidR="003F7883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POR TANTO,</w:t>
      </w:r>
    </w:p>
    <w:p w14:paraId="59ADD2F8" w14:textId="77777777" w:rsidR="003F7883" w:rsidRPr="00856CCB" w:rsidRDefault="00C11166" w:rsidP="008465D9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DECRETA:</w:t>
      </w:r>
    </w:p>
    <w:p w14:paraId="7C836682" w14:textId="77777777" w:rsidR="003F7883" w:rsidRPr="00856CCB" w:rsidRDefault="003F7883" w:rsidP="001036EC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58007113" w14:textId="4798F8B5" w:rsidR="003F7883" w:rsidRPr="00856CCB" w:rsidRDefault="00C11166" w:rsidP="008465D9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ARTÍCULO 1.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Exonerar de forma transitoria a los candidatos, movimientos internos y partidos políticos de la aplicación de multas, sanciones </w:t>
      </w:r>
      <w:r w:rsidR="00DB2EFC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establecidas en 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la </w:t>
      </w:r>
      <w:r w:rsidR="00DB2EFC"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LEY DE FINANCIAMIENTO, TRANSPARENCIA Y FISCALIZACIÓN A PARTIDOS POLÍTICOS Y CANDIDATOS</w:t>
      </w:r>
      <w:r w:rsidR="00DB2EFC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, y 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cualquier tipo de responsabilidad legal, derivada de la no presentación en tiempo y forma del 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I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nforme 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F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inanciero de 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L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iquidación de Fondos 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cont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enie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ndo el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Balance General 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y el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Estado de Resultados 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certificados y auditados de los ingresos y egresos con el detalle del origen y destino de los fondos administrados, 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 informes financieros referidos en dicha Ley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ante la </w:t>
      </w:r>
      <w:r w:rsidR="00801E1F"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Unidad de Financiamiento,</w:t>
      </w:r>
      <w:r w:rsidR="008465D9"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 xml:space="preserve"> </w:t>
      </w:r>
      <w:r w:rsidR="00801E1F"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>Transparencia y Fiscalización</w:t>
      </w:r>
      <w:r w:rsidR="00801E1F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, 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="00801E1F" w:rsidRPr="00856CCB">
        <w:rPr>
          <w:rFonts w:ascii="Arial" w:eastAsia="Arial" w:hAnsi="Arial" w:cs="Arial"/>
          <w:color w:val="000000" w:themeColor="text1"/>
          <w:sz w:val="26"/>
          <w:szCs w:val="26"/>
          <w:u w:val="single"/>
          <w:lang w:val="es-ES"/>
        </w:rPr>
        <w:t xml:space="preserve">siempre y cuando 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u w:val="single"/>
          <w:lang w:val="es-ES"/>
        </w:rPr>
        <w:t xml:space="preserve">los mismos procedan a </w:t>
      </w:r>
      <w:r w:rsidR="008F42A4" w:rsidRPr="00856CCB">
        <w:rPr>
          <w:rFonts w:ascii="Arial" w:eastAsia="Arial" w:hAnsi="Arial" w:cs="Arial"/>
          <w:color w:val="000000" w:themeColor="text1"/>
          <w:sz w:val="26"/>
          <w:szCs w:val="26"/>
          <w:u w:val="single"/>
          <w:lang w:val="es-ES"/>
        </w:rPr>
        <w:t>presentar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u w:val="single"/>
          <w:lang w:val="es-ES"/>
        </w:rPr>
        <w:t xml:space="preserve"> los informe de referencia </w:t>
      </w:r>
      <w:r w:rsidR="00F82647"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  <w:lang w:val="es-ES"/>
        </w:rPr>
        <w:t xml:space="preserve">en el </w:t>
      </w:r>
      <w:r w:rsidR="008465D9"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  <w:lang w:val="es-ES"/>
        </w:rPr>
        <w:t>término</w:t>
      </w:r>
      <w:r w:rsidR="00F82647"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  <w:lang w:val="es-ES"/>
        </w:rPr>
        <w:t xml:space="preserve"> de un mes calendario contado a partir de la vigencia del presente </w:t>
      </w:r>
      <w:r w:rsidR="00DB2EFC"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  <w:lang w:val="es-ES"/>
        </w:rPr>
        <w:t>D</w:t>
      </w:r>
      <w:r w:rsidR="00F82647" w:rsidRPr="00856CCB">
        <w:rPr>
          <w:rFonts w:ascii="Arial" w:eastAsia="Arial" w:hAnsi="Arial" w:cs="Arial"/>
          <w:b/>
          <w:bCs/>
          <w:color w:val="000000" w:themeColor="text1"/>
          <w:sz w:val="26"/>
          <w:szCs w:val="26"/>
          <w:u w:val="single"/>
          <w:lang w:val="es-ES"/>
        </w:rPr>
        <w:t>ecreto</w:t>
      </w:r>
      <w:r w:rsidR="00F82647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. </w:t>
      </w:r>
    </w:p>
    <w:p w14:paraId="23FEDCD1" w14:textId="6ECDCF82" w:rsidR="003F7883" w:rsidRPr="00856CCB" w:rsidRDefault="00F82647" w:rsidP="00862C1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Las personas naturales o jurídicas obligadas por 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L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ey que no presenten el Informe Financiero  de Liquidación de Fondos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contiendo el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Balance General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y el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Estado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de </w:t>
      </w:r>
      <w:r w:rsidR="00AE5E0E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Resultados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certificados y auditados de los ingresos y egresos 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lastRenderedPageBreak/>
        <w:t>con el detalle del origen y destino de los fondos administrados</w:t>
      </w:r>
      <w:r w:rsidR="00DB2EF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, e informes financieros</w:t>
      </w: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, ante la Unidad de Financiamiento, Transparencia y Fiscalización, 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en el t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é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rmino establecido en el párrafo precedente </w:t>
      </w:r>
      <w:r w:rsidR="008465D9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quedan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sujetos a la aplicación de multas y sanciones de 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L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ey correspondiente. </w:t>
      </w:r>
    </w:p>
    <w:p w14:paraId="56E8959C" w14:textId="77777777" w:rsidR="00862C13" w:rsidRPr="00856CCB" w:rsidRDefault="00862C13" w:rsidP="00862C13">
      <w:pPr>
        <w:spacing w:after="120" w:line="360" w:lineRule="auto"/>
        <w:jc w:val="both"/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</w:pPr>
    </w:p>
    <w:p w14:paraId="491676E1" w14:textId="29FE2AA3" w:rsidR="001036EC" w:rsidRPr="00856CCB" w:rsidRDefault="00C11166" w:rsidP="001036EC">
      <w:pPr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ARTÍCULO 2.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</w:t>
      </w:r>
      <w:r w:rsidR="001036EC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Reformar el </w:t>
      </w:r>
      <w:r w:rsidR="00AE5E0E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A</w:t>
      </w:r>
      <w:r w:rsidR="001036EC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rtículo 56 numeral 1)</w:t>
      </w:r>
      <w:r w:rsidR="008F42A4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de la</w:t>
      </w:r>
      <w:r w:rsidR="001036EC"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 xml:space="preserve"> </w:t>
      </w:r>
      <w:r w:rsidR="008F42A4" w:rsidRPr="00856CCB">
        <w:rPr>
          <w:rFonts w:ascii="Arial" w:hAnsi="Arial" w:cs="Arial"/>
          <w:b/>
          <w:bCs/>
          <w:color w:val="000000" w:themeColor="text1"/>
          <w:sz w:val="26"/>
          <w:szCs w:val="26"/>
          <w:lang w:val="es-ES"/>
        </w:rPr>
        <w:t xml:space="preserve">LEY DE FINANCIAMIENTO, TRANSPARENCIA Y FISCALIZACIÓN A PARTIDOS POLÍTICOS Y CANDIDATOS </w:t>
      </w:r>
      <w:r w:rsidR="008F42A4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contenida en </w:t>
      </w:r>
      <w:r w:rsidR="001036E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el Decreto No. 137-2016, de fecha 2 de </w:t>
      </w:r>
      <w:r w:rsidR="00862C13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noviembre</w:t>
      </w:r>
      <w:r w:rsidR="001036E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 de 2016 y publicado en el Diario Oficial “La Gaceta” el 18 de </w:t>
      </w:r>
      <w:r w:rsidR="00862C13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</w:t>
      </w:r>
      <w:r w:rsidR="001036E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 xml:space="preserve">nero de 2017, </w:t>
      </w:r>
      <w:r w:rsidR="00862C13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en la e</w:t>
      </w:r>
      <w:r w:rsidR="001036EC"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dición No.34,242, y sus reformas,</w:t>
      </w:r>
      <w:r w:rsidR="001036EC"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 xml:space="preserve"> </w:t>
      </w:r>
      <w:r w:rsidR="001036EC" w:rsidRPr="00856CCB"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  <w:t xml:space="preserve">el cual debe leerse de la manera siguiente: </w:t>
      </w:r>
    </w:p>
    <w:p w14:paraId="4E465EF8" w14:textId="77777777" w:rsidR="00862C13" w:rsidRPr="00856CCB" w:rsidRDefault="00862C13" w:rsidP="001036EC">
      <w:pPr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z w:val="26"/>
          <w:szCs w:val="26"/>
          <w:lang w:val="es-ES"/>
        </w:rPr>
      </w:pPr>
    </w:p>
    <w:p w14:paraId="4A2C9600" w14:textId="77777777" w:rsidR="001036EC" w:rsidRPr="00856CCB" w:rsidRDefault="001036EC" w:rsidP="00DB2EFC">
      <w:pPr>
        <w:spacing w:after="0" w:line="360" w:lineRule="auto"/>
        <w:ind w:left="720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color w:val="000000" w:themeColor="text1"/>
          <w:sz w:val="26"/>
          <w:szCs w:val="26"/>
          <w:lang w:val="es-ES"/>
        </w:rPr>
        <w:t>“</w:t>
      </w:r>
      <w:r w:rsidRPr="00856CCB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es-ES"/>
        </w:rPr>
        <w:t>ARTÍCULO 56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.- SANCIONES…:</w:t>
      </w:r>
    </w:p>
    <w:p w14:paraId="7868075B" w14:textId="73F6CCC8" w:rsidR="001036EC" w:rsidRPr="00856CCB" w:rsidRDefault="001036EC" w:rsidP="002D6E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Si, en el plazo establecido, no presentaren los estados financieros anuales y los correspondientes a cada proceso electoral, se debe aplicar una multa equivalente a </w:t>
      </w:r>
      <w:r w:rsidR="002D6EE3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quince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(1</w:t>
      </w:r>
      <w:r w:rsidR="002D6EE3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5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) salarios mínimos</w:t>
      </w:r>
      <w:r w:rsidR="002D6EE3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para el candidato a la </w:t>
      </w:r>
      <w:r w:rsidR="00AE5E0E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P</w:t>
      </w:r>
      <w:r w:rsidR="002D6EE3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residencia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,</w:t>
      </w:r>
      <w:r w:rsidR="002D6EE3"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 diez (10) salarios mínimos para los candidatos a la diputados, y cinco (5) salarios mínimos para los candidatos a cargos en las corporaciones municipales, </w:t>
      </w: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 xml:space="preserve">sin perjuicio de la obligación de presentarlos dentro de los cinco (5) días hábiles siguientes a la imposición de la multa; </w:t>
      </w:r>
    </w:p>
    <w:p w14:paraId="64939623" w14:textId="77777777" w:rsidR="001036EC" w:rsidRPr="00856CCB" w:rsidRDefault="001036EC" w:rsidP="00DB2EFC">
      <w:pPr>
        <w:spacing w:after="0" w:line="360" w:lineRule="auto"/>
        <w:ind w:left="720"/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2) Si…; y,</w:t>
      </w:r>
    </w:p>
    <w:p w14:paraId="64908FC8" w14:textId="405F1642" w:rsidR="001036EC" w:rsidRPr="00856CCB" w:rsidRDefault="001036EC" w:rsidP="00DB2EFC">
      <w:pPr>
        <w:spacing w:after="0" w:line="360" w:lineRule="auto"/>
        <w:ind w:left="720"/>
        <w:jc w:val="both"/>
        <w:rPr>
          <w:rFonts w:ascii="Arial" w:eastAsia="Arial" w:hAnsi="Arial" w:cs="Arial"/>
          <w:i/>
          <w:iCs/>
          <w:color w:val="000000" w:themeColor="text1"/>
          <w:sz w:val="26"/>
          <w:szCs w:val="26"/>
          <w:lang w:val="es-ES"/>
        </w:rPr>
      </w:pPr>
      <w:r w:rsidRPr="00856CCB">
        <w:rPr>
          <w:rFonts w:ascii="Arial" w:hAnsi="Arial" w:cs="Arial"/>
          <w:i/>
          <w:iCs/>
          <w:color w:val="000000" w:themeColor="text1"/>
          <w:sz w:val="26"/>
          <w:szCs w:val="26"/>
          <w:lang w:val="es-ES"/>
        </w:rPr>
        <w:t>3) Tratándose…”.</w:t>
      </w:r>
    </w:p>
    <w:p w14:paraId="38504742" w14:textId="7DDB8275" w:rsidR="001036EC" w:rsidRPr="00856CCB" w:rsidRDefault="001036EC" w:rsidP="00DB2EFC">
      <w:pPr>
        <w:spacing w:after="0" w:line="360" w:lineRule="auto"/>
        <w:ind w:left="720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2E54248D" w14:textId="77777777" w:rsidR="00862C13" w:rsidRPr="00856CCB" w:rsidRDefault="001036EC" w:rsidP="00862C13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ARTÍCULO 3.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E</w:t>
      </w:r>
      <w:r w:rsidR="00C11166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l presente Decreto entra en vigencia a partir del día de su publicación en el Diario Oficial “La Gaceta”.</w:t>
      </w:r>
    </w:p>
    <w:p w14:paraId="47121E58" w14:textId="72A490CE" w:rsidR="003F7883" w:rsidRPr="00856CCB" w:rsidRDefault="00C11166" w:rsidP="00862C13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ab/>
      </w:r>
    </w:p>
    <w:p w14:paraId="61BB19D5" w14:textId="0F39DCC1" w:rsidR="003F7883" w:rsidRPr="00856CCB" w:rsidRDefault="00C11166" w:rsidP="002D6EE3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Dado en la Ciudad de Tegucigalpa, Municipio del Distrito Central, celebrado de manera virtual, a los </w:t>
      </w:r>
      <w:r w:rsidR="00862C13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____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días del mes de </w:t>
      </w:r>
      <w:r w:rsidR="00862C13"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>_____</w:t>
      </w:r>
      <w:r w:rsidRPr="00856CCB">
        <w:rPr>
          <w:rFonts w:ascii="Arial" w:eastAsia="Arial" w:hAnsi="Arial" w:cs="Arial"/>
          <w:color w:val="000000" w:themeColor="text1"/>
          <w:sz w:val="26"/>
          <w:szCs w:val="26"/>
          <w:lang w:val="es-ES"/>
        </w:rPr>
        <w:t xml:space="preserve"> del año 2021.</w:t>
      </w:r>
    </w:p>
    <w:p w14:paraId="61DAF3D7" w14:textId="77777777" w:rsidR="003F7883" w:rsidRPr="00856CCB" w:rsidRDefault="003F788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14:paraId="27C97BCA" w14:textId="77777777" w:rsidR="003F7883" w:rsidRPr="00856CCB" w:rsidRDefault="00C11166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MAURICIO OLIVA HERRERA</w:t>
      </w:r>
    </w:p>
    <w:p w14:paraId="779EB172" w14:textId="77777777" w:rsidR="003F7883" w:rsidRPr="00856CCB" w:rsidRDefault="00C11166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PRESIDENTE</w:t>
      </w:r>
    </w:p>
    <w:p w14:paraId="0FACB6C4" w14:textId="77777777" w:rsidR="003F7883" w:rsidRPr="00856CCB" w:rsidRDefault="003F788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6FEC3C97" w14:textId="77777777" w:rsidR="003F7883" w:rsidRPr="00856CCB" w:rsidRDefault="003F788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</w:p>
    <w:p w14:paraId="54DD6052" w14:textId="77777777" w:rsidR="003F7883" w:rsidRPr="00856CCB" w:rsidRDefault="00C11166">
      <w:pPr>
        <w:tabs>
          <w:tab w:val="left" w:pos="1243"/>
        </w:tabs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>JOSÉ TOMÁS ZAMBRANO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  <w:t xml:space="preserve">SALVADOR VALERIANO PINEDA </w:t>
      </w:r>
    </w:p>
    <w:p w14:paraId="4BC5002E" w14:textId="77777777" w:rsidR="003F7883" w:rsidRPr="00856CCB" w:rsidRDefault="00C11166">
      <w:pPr>
        <w:tabs>
          <w:tab w:val="left" w:pos="1243"/>
        </w:tabs>
        <w:spacing w:after="0" w:line="240" w:lineRule="auto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 xml:space="preserve">             SECRETARIO </w:t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</w:r>
      <w:r w:rsidRPr="00856CCB">
        <w:rPr>
          <w:rFonts w:ascii="Arial" w:eastAsia="Arial" w:hAnsi="Arial" w:cs="Arial"/>
          <w:b/>
          <w:color w:val="000000" w:themeColor="text1"/>
          <w:sz w:val="26"/>
          <w:szCs w:val="26"/>
          <w:lang w:val="es-ES"/>
        </w:rPr>
        <w:tab/>
        <w:t>SECRETARIO</w:t>
      </w:r>
    </w:p>
    <w:p w14:paraId="5FA4CF1C" w14:textId="77777777" w:rsidR="003F7883" w:rsidRPr="00856CCB" w:rsidRDefault="003F7883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6"/>
          <w:szCs w:val="26"/>
        </w:rPr>
      </w:pPr>
      <w:bookmarkStart w:id="1" w:name="_30j0zll" w:colFirst="0" w:colLast="0"/>
      <w:bookmarkEnd w:id="1"/>
      <w:bookmarkEnd w:id="0"/>
    </w:p>
    <w:sectPr w:rsidR="003F7883" w:rsidRPr="00856CCB">
      <w:headerReference w:type="default" r:id="rId7"/>
      <w:footerReference w:type="default" r:id="rId8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39A6" w14:textId="77777777" w:rsidR="00C81110" w:rsidRDefault="00C81110">
      <w:pPr>
        <w:spacing w:after="0" w:line="240" w:lineRule="auto"/>
      </w:pPr>
      <w:r>
        <w:separator/>
      </w:r>
    </w:p>
  </w:endnote>
  <w:endnote w:type="continuationSeparator" w:id="0">
    <w:p w14:paraId="0B14F15B" w14:textId="77777777" w:rsidR="00C81110" w:rsidRDefault="00C8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EA0B" w14:textId="77777777" w:rsidR="003F7883" w:rsidRDefault="00C111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4F8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6418" w14:textId="77777777" w:rsidR="00C81110" w:rsidRDefault="00C81110">
      <w:pPr>
        <w:spacing w:after="0" w:line="240" w:lineRule="auto"/>
      </w:pPr>
      <w:r>
        <w:separator/>
      </w:r>
    </w:p>
  </w:footnote>
  <w:footnote w:type="continuationSeparator" w:id="0">
    <w:p w14:paraId="1E3FD47A" w14:textId="77777777" w:rsidR="00C81110" w:rsidRDefault="00C8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6DF0" w14:textId="0DD3CBE2" w:rsidR="003F7883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 wp14:anchorId="2A53BF5F" wp14:editId="0C85B01B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839595" cy="1283970"/>
          <wp:effectExtent l="0" t="0" r="8255" b="0"/>
          <wp:wrapTight wrapText="bothSides">
            <wp:wrapPolygon edited="0">
              <wp:start x="0" y="0"/>
              <wp:lineTo x="0" y="21151"/>
              <wp:lineTo x="21473" y="21151"/>
              <wp:lineTo x="21473" y="0"/>
              <wp:lineTo x="0" y="0"/>
            </wp:wrapPolygon>
          </wp:wrapTight>
          <wp:docPr id="2" name="image4.png" descr="MEMBRETE CARTAS C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EMBRETE CARTAS C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1283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1166">
      <w:rPr>
        <w:color w:val="000000"/>
      </w:rPr>
      <w:tab/>
    </w:r>
    <w:r w:rsidR="00C11166">
      <w:rPr>
        <w:color w:val="000000"/>
      </w:rPr>
      <w:tab/>
    </w:r>
  </w:p>
  <w:p w14:paraId="11414EDB" w14:textId="117AF26A" w:rsidR="001036EC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</w:p>
  <w:p w14:paraId="34B29198" w14:textId="418839D4" w:rsidR="001036EC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</w:p>
  <w:p w14:paraId="221F4A0B" w14:textId="25683B2D" w:rsidR="001036EC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</w:p>
  <w:p w14:paraId="2AB2E326" w14:textId="7FC1BF2A" w:rsidR="001036EC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</w:p>
  <w:p w14:paraId="46CFB9C6" w14:textId="77777777" w:rsidR="001036EC" w:rsidRDefault="001036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59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A75"/>
    <w:multiLevelType w:val="hybridMultilevel"/>
    <w:tmpl w:val="F56E27A2"/>
    <w:lvl w:ilvl="0" w:tplc="0622B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83"/>
    <w:rsid w:val="00052B26"/>
    <w:rsid w:val="001036EC"/>
    <w:rsid w:val="00136EFA"/>
    <w:rsid w:val="00193859"/>
    <w:rsid w:val="001954CD"/>
    <w:rsid w:val="00204F86"/>
    <w:rsid w:val="0021642C"/>
    <w:rsid w:val="00241BFD"/>
    <w:rsid w:val="002D6EE3"/>
    <w:rsid w:val="003A1E0E"/>
    <w:rsid w:val="003F7883"/>
    <w:rsid w:val="004B3D5A"/>
    <w:rsid w:val="0050476C"/>
    <w:rsid w:val="00523316"/>
    <w:rsid w:val="005468FB"/>
    <w:rsid w:val="005A0139"/>
    <w:rsid w:val="006E69D1"/>
    <w:rsid w:val="006F412F"/>
    <w:rsid w:val="00801E1F"/>
    <w:rsid w:val="0084073D"/>
    <w:rsid w:val="008465D9"/>
    <w:rsid w:val="00856CCB"/>
    <w:rsid w:val="00862C13"/>
    <w:rsid w:val="008F42A4"/>
    <w:rsid w:val="009450D9"/>
    <w:rsid w:val="0094752F"/>
    <w:rsid w:val="009F79D3"/>
    <w:rsid w:val="00A56527"/>
    <w:rsid w:val="00A63950"/>
    <w:rsid w:val="00A84C66"/>
    <w:rsid w:val="00AE5E0E"/>
    <w:rsid w:val="00B257AF"/>
    <w:rsid w:val="00C11166"/>
    <w:rsid w:val="00C81110"/>
    <w:rsid w:val="00DB2EFC"/>
    <w:rsid w:val="00E105A0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9B2D2"/>
  <w15:docId w15:val="{01C7C29C-1495-432B-B57D-52B8B7C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6EC"/>
  </w:style>
  <w:style w:type="paragraph" w:styleId="Piedepgina">
    <w:name w:val="footer"/>
    <w:basedOn w:val="Normal"/>
    <w:link w:val="PiedepginaCar"/>
    <w:uiPriority w:val="99"/>
    <w:unhideWhenUsed/>
    <w:rsid w:val="001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6EC"/>
  </w:style>
  <w:style w:type="paragraph" w:styleId="Prrafodelista">
    <w:name w:val="List Paragraph"/>
    <w:basedOn w:val="Normal"/>
    <w:uiPriority w:val="34"/>
    <w:qFormat/>
    <w:rsid w:val="002D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1896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</dc:creator>
  <cp:lastModifiedBy>Microsoft Office User</cp:lastModifiedBy>
  <cp:revision>4</cp:revision>
  <dcterms:created xsi:type="dcterms:W3CDTF">2021-10-07T14:16:00Z</dcterms:created>
  <dcterms:modified xsi:type="dcterms:W3CDTF">2021-10-07T19:13:00Z</dcterms:modified>
</cp:coreProperties>
</file>